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F194" w14:textId="77777777" w:rsidR="009B5AAF" w:rsidRDefault="00C3672E">
      <w:pPr>
        <w:jc w:val="center"/>
        <w:rPr>
          <w:b/>
          <w:u w:val="single"/>
        </w:rPr>
      </w:pPr>
      <w:r>
        <w:rPr>
          <w:b/>
          <w:u w:val="single"/>
        </w:rPr>
        <w:t>Guide du travailleur autonome</w:t>
      </w:r>
    </w:p>
    <w:p w14:paraId="41418F0F" w14:textId="77777777" w:rsidR="009B5AAF" w:rsidRDefault="009B5AAF">
      <w:pPr>
        <w:jc w:val="center"/>
        <w:rPr>
          <w:b/>
          <w:u w:val="single"/>
        </w:rPr>
      </w:pPr>
    </w:p>
    <w:p w14:paraId="0B1A198E" w14:textId="77777777" w:rsidR="009B5AAF" w:rsidRDefault="009B5AAF">
      <w:pPr>
        <w:rPr>
          <w:b/>
          <w:u w:val="single"/>
        </w:rPr>
      </w:pPr>
    </w:p>
    <w:p w14:paraId="03530DAB" w14:textId="77777777" w:rsidR="009B5AAF" w:rsidRDefault="009B5AAF"/>
    <w:p w14:paraId="24400BA0" w14:textId="77777777" w:rsidR="009B5AAF" w:rsidRDefault="00C3672E">
      <w:r>
        <w:t>Les accompagnateurs(trices) de l’Accalmie sont des travailleurs(euses) autonomes.</w:t>
      </w:r>
    </w:p>
    <w:p w14:paraId="480ABCF0" w14:textId="77777777" w:rsidR="009B5AAF" w:rsidRDefault="00C3672E">
      <w:r>
        <w:t>Voici quelques informations importantes et utiles à prendre en note.</w:t>
      </w:r>
    </w:p>
    <w:p w14:paraId="5EFF1C6D" w14:textId="77777777" w:rsidR="009B5AAF" w:rsidRDefault="009B5AAF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4380"/>
        <w:gridCol w:w="3029"/>
      </w:tblGrid>
      <w:tr w:rsidR="009B5AAF" w14:paraId="79AF0571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683F" w14:textId="77777777" w:rsidR="009B5AAF" w:rsidRDefault="00C3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Votre statut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6333F" w14:textId="77777777" w:rsidR="009B5AAF" w:rsidRDefault="00C3672E">
            <w:pPr>
              <w:widowControl w:val="0"/>
              <w:shd w:val="clear" w:color="auto" w:fill="FFFFFF"/>
              <w:spacing w:before="220" w:after="220"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En tant que travailleur, vous pouvez être considéré comme un travailleur autonome ou comme un salarié.</w:t>
            </w:r>
          </w:p>
          <w:p w14:paraId="2638C331" w14:textId="77777777" w:rsidR="009B5AAF" w:rsidRDefault="00C3672E">
            <w:pPr>
              <w:widowControl w:val="0"/>
              <w:shd w:val="clear" w:color="auto" w:fill="FFFFFF"/>
              <w:spacing w:before="220" w:after="220"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 type de relation qui vous lie à votre client ou à votre employeur est prépondérant pour déterminer votre statut de travailleur. Ainsi, les règles rela</w:t>
            </w:r>
            <w:r>
              <w:rPr>
                <w:rFonts w:ascii="Roboto" w:eastAsia="Roboto" w:hAnsi="Roboto" w:cs="Roboto"/>
                <w:sz w:val="18"/>
                <w:szCs w:val="18"/>
              </w:rPr>
              <w:t>tives au calcul du revenu sont différentes selon que vous êtes travailleur autonome ou salarié.</w:t>
            </w:r>
          </w:p>
          <w:p w14:paraId="6AA4F754" w14:textId="77777777" w:rsidR="009B5AAF" w:rsidRDefault="00C3672E">
            <w:pPr>
              <w:widowControl w:val="0"/>
              <w:shd w:val="clear" w:color="auto" w:fill="FFFFFF"/>
              <w:spacing w:before="220" w:after="220" w:line="240" w:lineRule="auto"/>
            </w:pPr>
            <w:r>
              <w:rPr>
                <w:rFonts w:ascii="Roboto" w:eastAsia="Roboto" w:hAnsi="Roboto" w:cs="Roboto"/>
                <w:sz w:val="18"/>
                <w:szCs w:val="18"/>
              </w:rPr>
              <w:t>Avant de déterminer votre statut du point de vue fiscal, il est important que vous preniez connaissance des critères que nous avons retenus, car ils peuvent êtr</w:t>
            </w:r>
            <w:r>
              <w:rPr>
                <w:rFonts w:ascii="Roboto" w:eastAsia="Roboto" w:hAnsi="Roboto" w:cs="Roboto"/>
                <w:sz w:val="18"/>
                <w:szCs w:val="18"/>
              </w:rPr>
              <w:t>e différents de ceux retenus par d'autres ministères et organism</w:t>
            </w:r>
            <w:r>
              <w:rPr>
                <w:rFonts w:ascii="Roboto" w:eastAsia="Roboto" w:hAnsi="Roboto" w:cs="Roboto"/>
                <w:color w:val="4B4B4B"/>
                <w:sz w:val="21"/>
                <w:szCs w:val="21"/>
              </w:rPr>
              <w:t>es.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4B20" w14:textId="77777777" w:rsidR="009B5AAF" w:rsidRDefault="00C3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Voici le lien pour approfondir vos connaissances sur votre statut.</w:t>
            </w:r>
          </w:p>
          <w:p w14:paraId="0D9BDCE6" w14:textId="77777777" w:rsidR="009B5AAF" w:rsidRDefault="009B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F7627F7" w14:textId="77777777" w:rsidR="009B5AAF" w:rsidRDefault="00C3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5">
              <w:r>
                <w:rPr>
                  <w:color w:val="1155CC"/>
                  <w:sz w:val="18"/>
                  <w:szCs w:val="18"/>
                  <w:u w:val="single"/>
                </w:rPr>
                <w:t>https://www.revenuquebec</w:t>
              </w:r>
              <w:r>
                <w:rPr>
                  <w:color w:val="1155CC"/>
                  <w:sz w:val="18"/>
                  <w:szCs w:val="18"/>
                  <w:u w:val="single"/>
                </w:rPr>
                <w:t>.ca/fr/citoyens/travailleurs-autonomes/votre-statut/</w:t>
              </w:r>
            </w:hyperlink>
          </w:p>
          <w:p w14:paraId="62E80259" w14:textId="77777777" w:rsidR="009B5AAF" w:rsidRDefault="009B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B5AAF" w14:paraId="0A0C908A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BC95" w14:textId="77777777" w:rsidR="009B5AAF" w:rsidRDefault="00C3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Vos obligations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75C5" w14:textId="77777777" w:rsidR="009B5AAF" w:rsidRDefault="00C3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Comme travailleur autonome, vous pourriez être tenu de remplir les principales obligations fiscales qui suivent, selon votre situation.</w:t>
            </w:r>
          </w:p>
          <w:p w14:paraId="2055F803" w14:textId="77777777" w:rsidR="009B5AAF" w:rsidRDefault="00C3672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Inscription aux fichiers de Revenu Québec</w:t>
            </w:r>
          </w:p>
          <w:p w14:paraId="1D183EB8" w14:textId="77777777" w:rsidR="009B5AAF" w:rsidRDefault="00C3672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Déclaration de la TPS et de la TVQ</w:t>
            </w:r>
          </w:p>
          <w:p w14:paraId="462AD217" w14:textId="77777777" w:rsidR="009B5AAF" w:rsidRDefault="00C3672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Paiement des retenues à la source et des cotisations de l’employeur</w:t>
            </w:r>
          </w:p>
          <w:p w14:paraId="73CA8D80" w14:textId="77777777" w:rsidR="009B5AAF" w:rsidRDefault="00C3672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déclaration de revenus des particuliers</w:t>
            </w:r>
          </w:p>
          <w:p w14:paraId="3CA35CD7" w14:textId="77777777" w:rsidR="009B5AAF" w:rsidRDefault="00C3672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Acomptes provisionnels</w:t>
            </w:r>
          </w:p>
          <w:p w14:paraId="622D68F6" w14:textId="77777777" w:rsidR="009B5AAF" w:rsidRDefault="00C3672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Registres et pièces justificatives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A2CD" w14:textId="77777777" w:rsidR="009B5AAF" w:rsidRDefault="00C367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Voici le lien pour approfondir vos connaissances sur vos obligations.</w:t>
            </w:r>
          </w:p>
          <w:p w14:paraId="16124880" w14:textId="77777777" w:rsidR="009B5AAF" w:rsidRDefault="009B5AA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674088E" w14:textId="77777777" w:rsidR="009B5AAF" w:rsidRDefault="00C3672E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https://www.revenuquebec.ca/fr/citoyens/travailleurs-autonomes/vos-obligations/</w:t>
              </w:r>
            </w:hyperlink>
          </w:p>
          <w:p w14:paraId="3C7906F4" w14:textId="77777777" w:rsidR="009B5AAF" w:rsidRDefault="009B5AA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B5AAF" w14:paraId="28442BD5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1C611" w14:textId="77777777" w:rsidR="009B5AAF" w:rsidRDefault="00C3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Vos droits et recours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3C0B" w14:textId="77777777" w:rsidR="009B5AAF" w:rsidRDefault="00C3672E">
            <w:pPr>
              <w:widowControl w:val="0"/>
              <w:shd w:val="clear" w:color="auto" w:fill="FFFFFF"/>
              <w:spacing w:before="220" w:after="220"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Comme travailleur autonome, vous disposez de plusieurs </w:t>
            </w:r>
            <w:hyperlink r:id="rId7">
              <w:r>
                <w:rPr>
                  <w:rFonts w:ascii="Roboto" w:eastAsia="Roboto" w:hAnsi="Roboto" w:cs="Roboto"/>
                  <w:sz w:val="18"/>
                  <w:szCs w:val="18"/>
                </w:rPr>
                <w:t>recours</w:t>
              </w:r>
            </w:hyperlink>
            <w:r>
              <w:rPr>
                <w:rFonts w:ascii="Roboto" w:eastAsia="Roboto" w:hAnsi="Roboto" w:cs="Roboto"/>
                <w:sz w:val="18"/>
                <w:szCs w:val="18"/>
              </w:rPr>
              <w:t xml:space="preserve"> pour faire valoir vos droits lorsque vous êtes en désaccord avec le traitement de votr</w:t>
            </w:r>
            <w:r>
              <w:rPr>
                <w:rFonts w:ascii="Roboto" w:eastAsia="Roboto" w:hAnsi="Roboto" w:cs="Roboto"/>
                <w:sz w:val="18"/>
                <w:szCs w:val="18"/>
              </w:rPr>
              <w:t>e dossier.</w:t>
            </w:r>
          </w:p>
          <w:p w14:paraId="73541882" w14:textId="77777777" w:rsidR="009B5AAF" w:rsidRDefault="00C3672E">
            <w:pPr>
              <w:widowControl w:val="0"/>
              <w:shd w:val="clear" w:color="auto" w:fill="FFFFFF"/>
              <w:spacing w:before="220" w:after="220"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De plus, dans des situations bien précises, vous pouvez nous </w:t>
            </w:r>
            <w:hyperlink r:id="rId8">
              <w:r>
                <w:rPr>
                  <w:rFonts w:ascii="Roboto" w:eastAsia="Roboto" w:hAnsi="Roboto" w:cs="Roboto"/>
                  <w:sz w:val="18"/>
                  <w:szCs w:val="18"/>
                </w:rPr>
                <w:t>demander d</w:t>
              </w:r>
              <w:r>
                <w:rPr>
                  <w:rFonts w:ascii="Roboto" w:eastAsia="Roboto" w:hAnsi="Roboto" w:cs="Roboto"/>
                  <w:sz w:val="18"/>
                  <w:szCs w:val="18"/>
                </w:rPr>
                <w:t>'annuler des intérêts, des pénalités ou des frais</w:t>
              </w:r>
            </w:hyperlink>
            <w:r>
              <w:rPr>
                <w:rFonts w:ascii="Roboto" w:eastAsia="Roboto" w:hAnsi="Roboto" w:cs="Roboto"/>
                <w:sz w:val="18"/>
                <w:szCs w:val="18"/>
              </w:rPr>
              <w:t xml:space="preserve"> que vous devez payer en application d'une loi fiscale.</w:t>
            </w:r>
          </w:p>
          <w:p w14:paraId="7C3D1B00" w14:textId="77777777" w:rsidR="009B5AAF" w:rsidRDefault="00C3672E">
            <w:pPr>
              <w:widowControl w:val="0"/>
              <w:shd w:val="clear" w:color="auto" w:fill="FFFFFF"/>
              <w:spacing w:before="220" w:after="220" w:line="240" w:lineRule="auto"/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Par ailleurs, notre </w:t>
            </w:r>
            <w:hyperlink r:id="rId9">
              <w:r>
                <w:rPr>
                  <w:rFonts w:ascii="Roboto" w:eastAsia="Roboto" w:hAnsi="Roboto" w:cs="Roboto"/>
                  <w:sz w:val="18"/>
                  <w:szCs w:val="18"/>
                </w:rPr>
                <w:t>programme de divulgation volontaire</w:t>
              </w:r>
            </w:hyperlink>
            <w:r>
              <w:rPr>
                <w:rFonts w:ascii="Roboto" w:eastAsia="Roboto" w:hAnsi="Roboto" w:cs="Roboto"/>
                <w:sz w:val="18"/>
                <w:szCs w:val="18"/>
              </w:rPr>
              <w:t xml:space="preserve"> vous offre l'opportunité de régulariser votre situation fiscale en divulguant les omissions ou les fausses déclarations qui vous auraient permis d'éviter de payer des impôts et des taxes.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BEDE" w14:textId="77777777" w:rsidR="009B5AAF" w:rsidRDefault="009B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5AAF" w14:paraId="7A56D5E8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25468" w14:textId="77777777" w:rsidR="009B5AAF" w:rsidRDefault="00C3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Autre(s)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054E" w14:textId="77777777" w:rsidR="009B5AAF" w:rsidRDefault="00C3672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revenu minimum imposable au Québec est de </w:t>
            </w:r>
            <w:r>
              <w:rPr>
                <w:b/>
              </w:rPr>
              <w:t>15 532$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4DEA" w14:textId="77777777" w:rsidR="009B5AAF" w:rsidRDefault="009B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059258E" w14:textId="77777777" w:rsidR="009B5AAF" w:rsidRDefault="009B5AAF"/>
    <w:p w14:paraId="2702B797" w14:textId="77777777" w:rsidR="009B5AAF" w:rsidRDefault="00C3672E">
      <w:r>
        <w:t>Pour plus d’assistance, voici les services offerts par Revenu Québec:</w:t>
      </w:r>
    </w:p>
    <w:p w14:paraId="2E49F133" w14:textId="77777777" w:rsidR="009B5AAF" w:rsidRDefault="00C3672E">
      <w:hyperlink r:id="rId10">
        <w:r>
          <w:rPr>
            <w:color w:val="1155CC"/>
            <w:u w:val="single"/>
          </w:rPr>
          <w:t>https://www.revenuquebec.ca/fr/citoyens/travailleurs-autonomes/nos-services/</w:t>
        </w:r>
      </w:hyperlink>
    </w:p>
    <w:p w14:paraId="65B70718" w14:textId="77777777" w:rsidR="009B5AAF" w:rsidRDefault="009B5AAF"/>
    <w:sectPr w:rsidR="009B5A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F05C7"/>
    <w:multiLevelType w:val="multilevel"/>
    <w:tmpl w:val="A68CB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957017"/>
    <w:multiLevelType w:val="multilevel"/>
    <w:tmpl w:val="E9B09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AF"/>
    <w:rsid w:val="009B5AAF"/>
    <w:rsid w:val="00C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4BEA"/>
  <w15:docId w15:val="{BAD02E79-2B96-4C57-8DC4-8AD5583D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enuquebec.ca/fr/juste-pour-tous/assurer-la-conformite-fiscale/penalites-et-interets/demande-dannulation-dinterets-de-penalites-ou-de-fra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venuquebec.ca/fr/juste-pour-tous/vous-informer-de-vos-droits/vos-recou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venuquebec.ca/fr/citoyens/travailleurs-autonomes/vos-obliga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venuquebec.ca/fr/citoyens/travailleurs-autonomes/votre-statut/" TargetMode="External"/><Relationship Id="rId10" Type="http://schemas.openxmlformats.org/officeDocument/2006/relationships/hyperlink" Target="https://www.revenuquebec.ca/fr/citoyens/travailleurs-autonomes/nos-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venuquebec.ca/fr/juste-pour-tous/assurer-la-conformite-fiscale/evasion-fiscale/divulgation-volontai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 L'Accalmie</dc:creator>
  <cp:lastModifiedBy>Projet L'Accalmie</cp:lastModifiedBy>
  <cp:revision>2</cp:revision>
  <dcterms:created xsi:type="dcterms:W3CDTF">2020-12-09T15:59:00Z</dcterms:created>
  <dcterms:modified xsi:type="dcterms:W3CDTF">2020-12-09T15:59:00Z</dcterms:modified>
</cp:coreProperties>
</file>